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49C354AA" w14:textId="77777777" w:rsidTr="0041512A">
        <w:tc>
          <w:tcPr>
            <w:tcW w:w="2263" w:type="dxa"/>
          </w:tcPr>
          <w:p w14:paraId="7BB8809F" w14:textId="524150EC" w:rsidR="0041512A" w:rsidRPr="00DA15C3" w:rsidRDefault="00A775EC" w:rsidP="0041512A">
            <w:pPr>
              <w:spacing w:before="120" w:after="120"/>
            </w:pPr>
            <w:r>
              <w:rPr>
                <w:color w:val="auto"/>
                <w:u w:val="none"/>
              </w:rPr>
              <w:fldChar w:fldCharType="begin"/>
            </w:r>
            <w:r>
              <w:instrText xml:space="preserve"> HYPERLINK "../PROCEDIMENTI.docx" </w:instrText>
            </w:r>
            <w:r>
              <w:rPr>
                <w:color w:val="auto"/>
                <w:u w:val="none"/>
              </w:rPr>
              <w:fldChar w:fldCharType="separate"/>
            </w:r>
            <w:r w:rsidR="001E6A00" w:rsidRPr="00697079">
              <w:rPr>
                <w:rStyle w:val="Collegamentoipertestuale"/>
                <w:b/>
              </w:rPr>
              <w:t>Procedimenti</w:t>
            </w:r>
            <w:r>
              <w:rPr>
                <w:rStyle w:val="Collegamentoipertestuale"/>
                <w:b/>
              </w:rPr>
              <w:fldChar w:fldCharType="end"/>
            </w:r>
          </w:p>
        </w:tc>
        <w:tc>
          <w:tcPr>
            <w:tcW w:w="5387" w:type="dxa"/>
          </w:tcPr>
          <w:p w14:paraId="702B4799" w14:textId="77777777" w:rsidR="0041512A" w:rsidRPr="00F850A2" w:rsidRDefault="00F850A2" w:rsidP="0041512A">
            <w:pPr>
              <w:jc w:val="center"/>
              <w:rPr>
                <w:b/>
              </w:rPr>
            </w:pPr>
            <w:r w:rsidRPr="00F850A2">
              <w:rPr>
                <w:b/>
                <w:color w:val="006600"/>
                <w:sz w:val="40"/>
                <w:szCs w:val="40"/>
                <w:u w:val="none"/>
              </w:rPr>
              <w:t>Riunioni pubbliche</w:t>
            </w:r>
          </w:p>
        </w:tc>
        <w:tc>
          <w:tcPr>
            <w:tcW w:w="1979" w:type="dxa"/>
          </w:tcPr>
          <w:p w14:paraId="4766B1E4" w14:textId="34EE14E5" w:rsidR="0041512A" w:rsidRPr="0041512A" w:rsidRDefault="0016026C" w:rsidP="0041512A">
            <w:pPr>
              <w:spacing w:before="120" w:after="120"/>
              <w:jc w:val="center"/>
              <w:rPr>
                <w:b/>
              </w:rPr>
            </w:pPr>
            <w:hyperlink r:id="rId5" w:history="1">
              <w:r w:rsidR="008E7261" w:rsidRPr="002F49AE">
                <w:rPr>
                  <w:rStyle w:val="Collegamentoipertestuale"/>
                  <w:b/>
                </w:rPr>
                <w:t>Contatti</w:t>
              </w:r>
            </w:hyperlink>
          </w:p>
        </w:tc>
      </w:tr>
      <w:tr w:rsidR="00342D58" w14:paraId="1FE4DACC" w14:textId="77777777" w:rsidTr="0041512A">
        <w:tc>
          <w:tcPr>
            <w:tcW w:w="9629" w:type="dxa"/>
            <w:gridSpan w:val="3"/>
          </w:tcPr>
          <w:p w14:paraId="6593D99E" w14:textId="295B5BE2" w:rsidR="00F33A15" w:rsidRPr="0053052E" w:rsidRDefault="0053052E" w:rsidP="00F312D0">
            <w:pPr>
              <w:spacing w:before="240" w:after="120"/>
              <w:ind w:left="164"/>
              <w:rPr>
                <w:rStyle w:val="Collegamentoipertestuale"/>
                <w:b/>
                <w:color w:val="C00000"/>
                <w:u w:val="none"/>
              </w:rPr>
            </w:pPr>
            <w:r w:rsidRPr="0053052E">
              <w:rPr>
                <w:rStyle w:val="Collegamentoipertestuale"/>
                <w:b/>
                <w:color w:val="C00000"/>
                <w:u w:val="none"/>
              </w:rPr>
              <w:t>Definizione</w:t>
            </w:r>
          </w:p>
          <w:p w14:paraId="741076C2" w14:textId="77777777" w:rsidR="00F850A2" w:rsidRPr="00935EE8" w:rsidRDefault="00F850A2" w:rsidP="00F850A2">
            <w:pPr>
              <w:ind w:left="164" w:right="312"/>
              <w:jc w:val="both"/>
              <w:rPr>
                <w:rFonts w:eastAsia="Times New Roman"/>
                <w:color w:val="auto"/>
                <w:sz w:val="20"/>
                <w:szCs w:val="20"/>
                <w:u w:val="none"/>
                <w:lang w:eastAsia="it-IT"/>
              </w:rPr>
            </w:pPr>
            <w:r w:rsidRPr="00935EE8">
              <w:rPr>
                <w:rFonts w:eastAsia="Times New Roman"/>
                <w:b/>
                <w:bCs/>
                <w:i/>
                <w:iCs/>
                <w:color w:val="auto"/>
                <w:sz w:val="20"/>
                <w:szCs w:val="20"/>
                <w:u w:val="none"/>
                <w:lang w:eastAsia="it-IT"/>
              </w:rPr>
              <w:t>Le riunioni in luogo pubblico non rientrano tra le funzioni attribuite al SUAP né tantomeno tra le funzioni di Polizia Amministrativa attribuite ai Comuni, ma rientrano tra le competenze del Sindaco quale autorità locale di Pubblica Sicurezza e pertanto deve essere portato a conoscenza del loro svolgimento anche per valutare il coordinamento in relazione ad eventuali impedimenti in atto sul percorso della manifestazione.</w:t>
            </w:r>
          </w:p>
          <w:p w14:paraId="36A8F40D" w14:textId="77777777" w:rsidR="000E4B7E" w:rsidRPr="0053052E" w:rsidRDefault="000E4B7E" w:rsidP="000E4B7E">
            <w:pPr>
              <w:pStyle w:val="Paragrafoelenco"/>
              <w:rPr>
                <w:b/>
              </w:rPr>
            </w:pPr>
          </w:p>
          <w:p w14:paraId="0AA76F11" w14:textId="77777777" w:rsidR="0003034E" w:rsidRPr="0053052E" w:rsidRDefault="0003034E" w:rsidP="003A4A32">
            <w:pPr>
              <w:spacing w:after="120"/>
              <w:ind w:left="164"/>
              <w:rPr>
                <w:rStyle w:val="Collegamentoipertestuale"/>
                <w:b/>
                <w:color w:val="C00000"/>
                <w:u w:val="none"/>
              </w:rPr>
            </w:pPr>
            <w:r w:rsidRPr="0053052E">
              <w:rPr>
                <w:rStyle w:val="Collegamentoipertestuale"/>
                <w:b/>
                <w:color w:val="C00000"/>
                <w:u w:val="none"/>
              </w:rPr>
              <w:t>Modalità di esercizio</w:t>
            </w:r>
          </w:p>
          <w:p w14:paraId="545C9892" w14:textId="77777777" w:rsidR="00F850A2" w:rsidRPr="00935EE8" w:rsidRDefault="0016026C" w:rsidP="00F850A2">
            <w:pPr>
              <w:spacing w:after="120"/>
              <w:ind w:left="164" w:right="312"/>
              <w:rPr>
                <w:rFonts w:eastAsia="Times New Roman"/>
                <w:color w:val="auto"/>
                <w:sz w:val="20"/>
                <w:szCs w:val="20"/>
                <w:u w:val="none"/>
                <w:lang w:eastAsia="it-IT"/>
              </w:rPr>
            </w:pPr>
            <w:hyperlink r:id="rId6" w:history="1">
              <w:r w:rsidR="00F850A2" w:rsidRPr="00935EE8">
                <w:rPr>
                  <w:rFonts w:eastAsia="Times New Roman"/>
                  <w:b/>
                  <w:bCs/>
                  <w:color w:val="auto"/>
                  <w:sz w:val="20"/>
                  <w:szCs w:val="20"/>
                  <w:u w:val="none"/>
                  <w:lang w:eastAsia="it-IT"/>
                </w:rPr>
                <w:t>Art. 12 del TUR – Riunioni in luogo pubblico (art. 18 TULPS)</w:t>
              </w:r>
            </w:hyperlink>
          </w:p>
          <w:p w14:paraId="7F55F81F" w14:textId="59DC83AC" w:rsidR="00F850A2" w:rsidRPr="00935EE8" w:rsidRDefault="00F850A2" w:rsidP="00F850A2">
            <w:pPr>
              <w:spacing w:line="270" w:lineRule="atLeast"/>
              <w:ind w:left="164" w:right="312"/>
              <w:jc w:val="both"/>
              <w:rPr>
                <w:rFonts w:eastAsia="Times New Roman"/>
                <w:color w:val="auto"/>
                <w:sz w:val="20"/>
                <w:szCs w:val="20"/>
                <w:u w:val="none"/>
                <w:lang w:eastAsia="it-IT"/>
              </w:rPr>
            </w:pPr>
            <w:r w:rsidRPr="00935EE8">
              <w:rPr>
                <w:rFonts w:eastAsia="Times New Roman"/>
                <w:color w:val="auto"/>
                <w:sz w:val="20"/>
                <w:szCs w:val="20"/>
                <w:u w:val="none"/>
                <w:lang w:eastAsia="it-IT"/>
              </w:rPr>
              <w:t xml:space="preserve">1. I promotori di una riunione in luogo pubblico, almeno tre giorni prima, utilizzando il </w:t>
            </w:r>
            <w:hyperlink r:id="rId7" w:history="1">
              <w:r w:rsidRPr="003D0A18">
                <w:rPr>
                  <w:rStyle w:val="Collegamentoipertestuale"/>
                  <w:rFonts w:eastAsia="Times New Roman"/>
                  <w:b/>
                  <w:sz w:val="20"/>
                  <w:szCs w:val="20"/>
                  <w:u w:val="none"/>
                  <w:lang w:eastAsia="it-IT"/>
                </w:rPr>
                <w:t>modulo comunale predisposto,</w:t>
              </w:r>
            </w:hyperlink>
            <w:r w:rsidRPr="00935EE8">
              <w:rPr>
                <w:rFonts w:eastAsia="Times New Roman"/>
                <w:color w:val="auto"/>
                <w:sz w:val="20"/>
                <w:szCs w:val="20"/>
                <w:u w:val="none"/>
                <w:lang w:eastAsia="it-IT"/>
              </w:rPr>
              <w:t xml:space="preserve"> devono darne avviso al Sindaco </w:t>
            </w:r>
            <w:r w:rsidRPr="00474DD1">
              <w:rPr>
                <w:rFonts w:eastAsia="Times New Roman"/>
                <w:b/>
                <w:bCs/>
                <w:color w:val="auto"/>
                <w:sz w:val="20"/>
                <w:szCs w:val="20"/>
                <w:u w:val="none"/>
                <w:lang w:eastAsia="it-IT"/>
              </w:rPr>
              <w:t>(tramite Polizia Locale)</w:t>
            </w:r>
            <w:r w:rsidRPr="00935EE8">
              <w:rPr>
                <w:rFonts w:eastAsia="Times New Roman"/>
                <w:color w:val="auto"/>
                <w:sz w:val="20"/>
                <w:szCs w:val="20"/>
                <w:u w:val="none"/>
                <w:lang w:eastAsia="it-IT"/>
              </w:rPr>
              <w:t xml:space="preserve"> ed al Questore i quali, per ragioni di ordine pubblico, di moralità o di sanità pubblica, possono impedire che la riunione abbia luogo e possono, per le stesse ragioni, prescrivere modalità di tempo e di luogo alla riunione.</w:t>
            </w:r>
          </w:p>
          <w:p w14:paraId="201CAA5C" w14:textId="77777777" w:rsidR="00F850A2" w:rsidRPr="00935EE8" w:rsidRDefault="00F850A2" w:rsidP="00F850A2">
            <w:pPr>
              <w:spacing w:line="270" w:lineRule="atLeast"/>
              <w:ind w:left="164" w:right="312"/>
              <w:jc w:val="both"/>
              <w:rPr>
                <w:rFonts w:eastAsia="Times New Roman"/>
                <w:color w:val="auto"/>
                <w:sz w:val="20"/>
                <w:szCs w:val="20"/>
                <w:u w:val="none"/>
                <w:lang w:eastAsia="it-IT"/>
              </w:rPr>
            </w:pPr>
            <w:r w:rsidRPr="00935EE8">
              <w:rPr>
                <w:rFonts w:eastAsia="Times New Roman"/>
                <w:color w:val="auto"/>
                <w:sz w:val="20"/>
                <w:szCs w:val="20"/>
                <w:u w:val="none"/>
                <w:lang w:eastAsia="it-IT"/>
              </w:rPr>
              <w:t>2. È considerata pubblica anche una riunione, che, sebbene indetta in forma privata, per il numero delle persone che dovranno intervenirvi, o per lo scopo o l'oggetto di essa, si tiene in luogo pubblico (sfilate e cortei bandistici).</w:t>
            </w:r>
          </w:p>
          <w:p w14:paraId="06C050E2" w14:textId="77777777" w:rsidR="00F850A2" w:rsidRPr="00935EE8" w:rsidRDefault="00F850A2" w:rsidP="00F850A2">
            <w:pPr>
              <w:spacing w:line="270" w:lineRule="atLeast"/>
              <w:ind w:left="164" w:right="312"/>
              <w:jc w:val="both"/>
              <w:rPr>
                <w:rFonts w:eastAsia="Times New Roman"/>
                <w:color w:val="auto"/>
                <w:sz w:val="20"/>
                <w:szCs w:val="20"/>
                <w:u w:val="none"/>
                <w:lang w:eastAsia="it-IT"/>
              </w:rPr>
            </w:pPr>
            <w:r w:rsidRPr="00935EE8">
              <w:rPr>
                <w:rFonts w:eastAsia="Times New Roman"/>
                <w:color w:val="auto"/>
                <w:sz w:val="20"/>
                <w:szCs w:val="20"/>
                <w:u w:val="none"/>
                <w:lang w:eastAsia="it-IT"/>
              </w:rPr>
              <w:t>3. Il Sindaco, nel caso di omesso avviso ovvero per ragioni di ordine pubblico, di moralità o di sanità pubblica, informa immediatamente il Questore e, in caso di urgenza, provvede, sotto la propria responsabilità e con l’ausilio della Polizia Locale, ad impedire che la riunione abbia luogo o a vigilarne lo svolgimento.</w:t>
            </w:r>
          </w:p>
          <w:p w14:paraId="1AEBB031" w14:textId="77777777" w:rsidR="00F850A2" w:rsidRPr="00935EE8" w:rsidRDefault="00F850A2" w:rsidP="00F850A2">
            <w:pPr>
              <w:spacing w:line="270" w:lineRule="atLeast"/>
              <w:ind w:left="164" w:right="312"/>
              <w:jc w:val="both"/>
              <w:rPr>
                <w:rFonts w:eastAsia="Times New Roman"/>
                <w:color w:val="auto"/>
                <w:sz w:val="20"/>
                <w:szCs w:val="20"/>
                <w:u w:val="none"/>
                <w:lang w:eastAsia="it-IT"/>
              </w:rPr>
            </w:pPr>
            <w:r w:rsidRPr="00935EE8">
              <w:rPr>
                <w:rFonts w:eastAsia="Times New Roman"/>
                <w:color w:val="auto"/>
                <w:sz w:val="20"/>
                <w:szCs w:val="20"/>
                <w:u w:val="none"/>
                <w:lang w:eastAsia="it-IT"/>
              </w:rPr>
              <w:t>4. L'avviso per le riunioni pubbliche deve contenere l'indicazione del giorno, dell'ora, del luogo e dell'oggetto della riunione; le generalità di coloro che sono designati a prendere la parola nonché le generalità e la firma dei promotori.</w:t>
            </w:r>
          </w:p>
          <w:p w14:paraId="5ED30338" w14:textId="77777777" w:rsidR="00F850A2" w:rsidRPr="00935EE8" w:rsidRDefault="00F850A2" w:rsidP="00F850A2">
            <w:pPr>
              <w:spacing w:line="270" w:lineRule="atLeast"/>
              <w:ind w:left="164" w:right="312"/>
              <w:jc w:val="both"/>
              <w:rPr>
                <w:rFonts w:eastAsia="Times New Roman"/>
                <w:color w:val="auto"/>
                <w:sz w:val="20"/>
                <w:szCs w:val="20"/>
                <w:u w:val="none"/>
                <w:lang w:eastAsia="it-IT"/>
              </w:rPr>
            </w:pPr>
            <w:r w:rsidRPr="00935EE8">
              <w:rPr>
                <w:rFonts w:eastAsia="Times New Roman"/>
                <w:color w:val="auto"/>
                <w:sz w:val="20"/>
                <w:szCs w:val="20"/>
                <w:u w:val="none"/>
                <w:lang w:eastAsia="it-IT"/>
              </w:rPr>
              <w:t>5. Insieme con l'avviso deve essere richiesto il consenso scritto per l’eventuale occupazione temporanea del luogo pubblico.</w:t>
            </w:r>
          </w:p>
          <w:p w14:paraId="602F56C1" w14:textId="77777777" w:rsidR="00F850A2" w:rsidRPr="00935EE8" w:rsidRDefault="00F850A2" w:rsidP="00F850A2">
            <w:pPr>
              <w:spacing w:line="270" w:lineRule="atLeast"/>
              <w:ind w:left="164" w:right="312"/>
              <w:jc w:val="both"/>
              <w:rPr>
                <w:rFonts w:eastAsia="Times New Roman"/>
                <w:color w:val="auto"/>
                <w:sz w:val="20"/>
                <w:szCs w:val="20"/>
                <w:u w:val="none"/>
                <w:lang w:eastAsia="it-IT"/>
              </w:rPr>
            </w:pPr>
            <w:r w:rsidRPr="00935EE8">
              <w:rPr>
                <w:rFonts w:eastAsia="Times New Roman"/>
                <w:color w:val="auto"/>
                <w:sz w:val="20"/>
                <w:szCs w:val="20"/>
                <w:u w:val="none"/>
                <w:lang w:eastAsia="it-IT"/>
              </w:rPr>
              <w:t xml:space="preserve">6. Quando il Sindaco vieti la riunione per ragioni di ordine pubblico, di moralità o di sanità pubblica, viabilità o altre ragioni inerenti </w:t>
            </w:r>
            <w:proofErr w:type="gramStart"/>
            <w:r w:rsidRPr="00935EE8">
              <w:rPr>
                <w:rFonts w:eastAsia="Times New Roman"/>
                <w:color w:val="auto"/>
                <w:sz w:val="20"/>
                <w:szCs w:val="20"/>
                <w:u w:val="none"/>
                <w:lang w:eastAsia="it-IT"/>
              </w:rPr>
              <w:t>l’uso</w:t>
            </w:r>
            <w:proofErr w:type="gramEnd"/>
            <w:r w:rsidRPr="00935EE8">
              <w:rPr>
                <w:rFonts w:eastAsia="Times New Roman"/>
                <w:color w:val="auto"/>
                <w:sz w:val="20"/>
                <w:szCs w:val="20"/>
                <w:u w:val="none"/>
                <w:lang w:eastAsia="it-IT"/>
              </w:rPr>
              <w:t xml:space="preserve"> del suolo pubblico, ovvero imponga speciali prescrizioni, ne dà notizia ai promotori. L'avvenuta comunicazione dovrà risultare da processo verbale.</w:t>
            </w:r>
          </w:p>
          <w:p w14:paraId="13201B09" w14:textId="77777777" w:rsidR="00F850A2" w:rsidRPr="00935EE8" w:rsidRDefault="00F850A2" w:rsidP="00F850A2">
            <w:pPr>
              <w:spacing w:line="270" w:lineRule="atLeast"/>
              <w:ind w:left="164" w:right="312"/>
              <w:jc w:val="both"/>
              <w:rPr>
                <w:rFonts w:eastAsia="Times New Roman"/>
                <w:color w:val="auto"/>
                <w:sz w:val="20"/>
                <w:szCs w:val="20"/>
                <w:u w:val="none"/>
                <w:lang w:eastAsia="it-IT"/>
              </w:rPr>
            </w:pPr>
            <w:r w:rsidRPr="00935EE8">
              <w:rPr>
                <w:rFonts w:eastAsia="Times New Roman"/>
                <w:color w:val="auto"/>
                <w:sz w:val="20"/>
                <w:szCs w:val="20"/>
                <w:u w:val="none"/>
                <w:lang w:eastAsia="it-IT"/>
              </w:rPr>
              <w:t>7. Quando occorra sciogliere una riunione od un assembramento, il Sindaco dispone di conseguenza informando il Questore.</w:t>
            </w:r>
          </w:p>
          <w:p w14:paraId="51B9D17B" w14:textId="77777777" w:rsidR="00F850A2" w:rsidRDefault="00F850A2" w:rsidP="00F850A2">
            <w:pPr>
              <w:ind w:left="164"/>
              <w:rPr>
                <w:rStyle w:val="Collegamentoipertestuale"/>
                <w:b/>
                <w:color w:val="C00000"/>
                <w:sz w:val="24"/>
                <w:szCs w:val="24"/>
                <w:u w:val="none"/>
              </w:rPr>
            </w:pPr>
            <w:r w:rsidRPr="00935EE8">
              <w:rPr>
                <w:rFonts w:eastAsia="Times New Roman"/>
                <w:color w:val="auto"/>
                <w:sz w:val="20"/>
                <w:szCs w:val="20"/>
                <w:u w:val="none"/>
                <w:lang w:eastAsia="it-IT"/>
              </w:rPr>
              <w:t>8. Le disposizioni di questo articolo non si applicano alle riunioni elettorali</w:t>
            </w:r>
          </w:p>
          <w:p w14:paraId="60A631C6" w14:textId="77777777" w:rsidR="00F850A2" w:rsidRDefault="00F850A2" w:rsidP="00F850A2">
            <w:pPr>
              <w:spacing w:after="120"/>
              <w:ind w:left="164"/>
              <w:rPr>
                <w:rStyle w:val="Collegamentoipertestuale"/>
                <w:b/>
                <w:color w:val="C00000"/>
                <w:sz w:val="24"/>
                <w:szCs w:val="24"/>
                <w:u w:val="none"/>
              </w:rPr>
            </w:pPr>
          </w:p>
          <w:p w14:paraId="55EFFBAF" w14:textId="77777777" w:rsidR="004E74BB" w:rsidRPr="0053052E" w:rsidRDefault="0016026C" w:rsidP="004E74BB">
            <w:pPr>
              <w:spacing w:after="120"/>
              <w:ind w:left="164"/>
              <w:rPr>
                <w:rStyle w:val="Collegamentoipertestuale"/>
                <w:b/>
                <w:color w:val="C00000"/>
                <w:u w:val="none"/>
              </w:rPr>
            </w:pPr>
            <w:hyperlink r:id="rId8" w:history="1">
              <w:r w:rsidR="002A6285" w:rsidRPr="0053052E">
                <w:rPr>
                  <w:rStyle w:val="Collegamentoipertestuale"/>
                  <w:b/>
                  <w:color w:val="C00000"/>
                  <w:u w:val="none"/>
                </w:rPr>
                <w:t>Normativa di riferimento</w:t>
              </w:r>
            </w:hyperlink>
            <w:r w:rsidR="00945B26" w:rsidRPr="0053052E">
              <w:rPr>
                <w:rStyle w:val="Collegamentoipertestuale"/>
                <w:b/>
                <w:color w:val="C00000"/>
                <w:u w:val="none"/>
              </w:rPr>
              <w:t xml:space="preserve">: </w:t>
            </w:r>
            <w:r w:rsidR="0041512A" w:rsidRPr="0053052E">
              <w:rPr>
                <w:rStyle w:val="Collegamentoipertestuale"/>
                <w:b/>
                <w:color w:val="C00000"/>
                <w:u w:val="none"/>
              </w:rPr>
              <w:t xml:space="preserve"> </w:t>
            </w:r>
            <w:r w:rsidR="00945B26" w:rsidRPr="0053052E">
              <w:rPr>
                <w:rStyle w:val="Collegamentoipertestuale"/>
                <w:b/>
                <w:color w:val="C00000"/>
                <w:u w:val="none"/>
              </w:rPr>
              <w:t xml:space="preserve"> </w:t>
            </w:r>
          </w:p>
          <w:p w14:paraId="5A2FCD23" w14:textId="2ED619F3" w:rsidR="004E74BB" w:rsidRDefault="0016026C" w:rsidP="004E74BB">
            <w:pPr>
              <w:spacing w:after="120"/>
              <w:ind w:left="164"/>
              <w:rPr>
                <w:rFonts w:eastAsia="Times New Roman"/>
                <w:b/>
                <w:color w:val="0000FF"/>
                <w:sz w:val="20"/>
                <w:szCs w:val="20"/>
                <w:lang w:eastAsia="it-IT"/>
              </w:rPr>
            </w:pPr>
            <w:hyperlink r:id="rId9" w:history="1">
              <w:r w:rsidR="004E74BB">
                <w:rPr>
                  <w:rStyle w:val="Collegamentoipertestuale"/>
                  <w:rFonts w:eastAsia="Times New Roman"/>
                  <w:b/>
                  <w:sz w:val="20"/>
                  <w:szCs w:val="20"/>
                  <w:lang w:eastAsia="it-IT"/>
                </w:rPr>
                <w:t>Testo unico di Pubblica Sicurezza</w:t>
              </w:r>
            </w:hyperlink>
          </w:p>
          <w:p w14:paraId="76DDA076" w14:textId="72973B98" w:rsidR="004E74BB" w:rsidRDefault="0016026C" w:rsidP="004E74BB">
            <w:pPr>
              <w:ind w:left="164"/>
              <w:rPr>
                <w:rFonts w:eastAsia="Times New Roman"/>
                <w:b/>
                <w:color w:val="0000FF"/>
                <w:sz w:val="20"/>
                <w:szCs w:val="20"/>
                <w:lang w:eastAsia="it-IT"/>
              </w:rPr>
            </w:pPr>
            <w:hyperlink r:id="rId10" w:history="1">
              <w:r w:rsidR="004E74BB">
                <w:rPr>
                  <w:rStyle w:val="Collegamentoipertestuale"/>
                  <w:rFonts w:eastAsia="Times New Roman"/>
                  <w:b/>
                  <w:sz w:val="20"/>
                  <w:szCs w:val="20"/>
                  <w:lang w:eastAsia="it-IT"/>
                </w:rPr>
                <w:t>Regolamento Testo Unico di Pubblica Sicurezza</w:t>
              </w:r>
            </w:hyperlink>
          </w:p>
          <w:p w14:paraId="7111D28D" w14:textId="60BD5341" w:rsidR="00F850A2" w:rsidRDefault="00F850A2" w:rsidP="00F850A2">
            <w:pPr>
              <w:pStyle w:val="Rientrocorpodeltesto"/>
              <w:spacing w:after="0"/>
              <w:ind w:left="164"/>
              <w:jc w:val="both"/>
              <w:rPr>
                <w:u w:val="none"/>
              </w:rPr>
            </w:pPr>
          </w:p>
          <w:p w14:paraId="53C74D14" w14:textId="77777777" w:rsidR="00F850A2" w:rsidRPr="0041512A" w:rsidRDefault="00F850A2" w:rsidP="00F850A2">
            <w:pPr>
              <w:pStyle w:val="Rientrocorpodeltesto"/>
              <w:spacing w:after="0"/>
              <w:ind w:left="164"/>
              <w:jc w:val="both"/>
              <w:rPr>
                <w:b/>
                <w:sz w:val="24"/>
                <w:szCs w:val="24"/>
                <w:u w:val="none"/>
              </w:rPr>
            </w:pPr>
          </w:p>
        </w:tc>
      </w:tr>
    </w:tbl>
    <w:p w14:paraId="29AA987B"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3"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E4B7E"/>
    <w:rsid w:val="000F3ADF"/>
    <w:rsid w:val="00112873"/>
    <w:rsid w:val="00117F1E"/>
    <w:rsid w:val="0016026C"/>
    <w:rsid w:val="001E6A00"/>
    <w:rsid w:val="002210DE"/>
    <w:rsid w:val="0023487B"/>
    <w:rsid w:val="00276654"/>
    <w:rsid w:val="002A5D7C"/>
    <w:rsid w:val="002A6285"/>
    <w:rsid w:val="002B375D"/>
    <w:rsid w:val="00342D58"/>
    <w:rsid w:val="00373C2E"/>
    <w:rsid w:val="003A4A32"/>
    <w:rsid w:val="003C5FBA"/>
    <w:rsid w:val="0041512A"/>
    <w:rsid w:val="004257E1"/>
    <w:rsid w:val="0044342C"/>
    <w:rsid w:val="0045341A"/>
    <w:rsid w:val="004704B5"/>
    <w:rsid w:val="00474DD1"/>
    <w:rsid w:val="00493BD0"/>
    <w:rsid w:val="004E74BB"/>
    <w:rsid w:val="004F3CF0"/>
    <w:rsid w:val="004F59C5"/>
    <w:rsid w:val="004F667B"/>
    <w:rsid w:val="00506E58"/>
    <w:rsid w:val="0053052E"/>
    <w:rsid w:val="005930C1"/>
    <w:rsid w:val="005C68B2"/>
    <w:rsid w:val="005C720B"/>
    <w:rsid w:val="00621A5C"/>
    <w:rsid w:val="00651378"/>
    <w:rsid w:val="00692827"/>
    <w:rsid w:val="006B29D2"/>
    <w:rsid w:val="006B3A13"/>
    <w:rsid w:val="006C7151"/>
    <w:rsid w:val="00705665"/>
    <w:rsid w:val="00737DA2"/>
    <w:rsid w:val="00746376"/>
    <w:rsid w:val="0082478D"/>
    <w:rsid w:val="00897F79"/>
    <w:rsid w:val="008E7261"/>
    <w:rsid w:val="00945B26"/>
    <w:rsid w:val="009A4645"/>
    <w:rsid w:val="00A06B50"/>
    <w:rsid w:val="00A35308"/>
    <w:rsid w:val="00A775EC"/>
    <w:rsid w:val="00AA458C"/>
    <w:rsid w:val="00B0731C"/>
    <w:rsid w:val="00B66F7C"/>
    <w:rsid w:val="00BF42AE"/>
    <w:rsid w:val="00C459E8"/>
    <w:rsid w:val="00C75D34"/>
    <w:rsid w:val="00C87B29"/>
    <w:rsid w:val="00CD592E"/>
    <w:rsid w:val="00D16B5E"/>
    <w:rsid w:val="00DA15C3"/>
    <w:rsid w:val="00DC5DC3"/>
    <w:rsid w:val="00DF0435"/>
    <w:rsid w:val="00E25843"/>
    <w:rsid w:val="00E660BB"/>
    <w:rsid w:val="00EB1403"/>
    <w:rsid w:val="00EE371A"/>
    <w:rsid w:val="00F2381A"/>
    <w:rsid w:val="00F312D0"/>
    <w:rsid w:val="00F33A15"/>
    <w:rsid w:val="00F8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C5A6"/>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Riferimenti%20normativi%20e%20di%20controllo.docx" TargetMode="External"/><Relationship Id="rId3" Type="http://schemas.openxmlformats.org/officeDocument/2006/relationships/settings" Target="settings.xml"/><Relationship Id="rId7" Type="http://schemas.openxmlformats.org/officeDocument/2006/relationships/hyperlink" Target="Modulistica/1PA%20-%20Preavviso%20di%20manifestazione%20pubblic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ellotelematico.comune.grumellodelmonte.bg.it/attivita-economica/05a-riunioni-pubbliche" TargetMode="External"/><Relationship Id="rId11" Type="http://schemas.openxmlformats.org/officeDocument/2006/relationships/fontTable" Target="fontTable.xml"/><Relationship Id="rId5" Type="http://schemas.openxmlformats.org/officeDocument/2006/relationships/hyperlink" Target="../../CONTATTI/CONTATTI_LC.docx" TargetMode="External"/><Relationship Id="rId10" Type="http://schemas.openxmlformats.org/officeDocument/2006/relationships/hyperlink" Target="https://www.tuttocamere.it/files/psicurezza/1940_635.pdf" TargetMode="External"/><Relationship Id="rId4" Type="http://schemas.openxmlformats.org/officeDocument/2006/relationships/webSettings" Target="webSettings.xml"/><Relationship Id="rId9" Type="http://schemas.openxmlformats.org/officeDocument/2006/relationships/hyperlink" Target="https://www.tuttocamere.it/files/psicurezza/1931_77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45</cp:revision>
  <dcterms:created xsi:type="dcterms:W3CDTF">2018-04-13T14:42:00Z</dcterms:created>
  <dcterms:modified xsi:type="dcterms:W3CDTF">2021-05-11T14:17:00Z</dcterms:modified>
</cp:coreProperties>
</file>